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个人名下资产查询方法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56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请使用IE浏览器或360浏览器查询。查询路径：温大网站-部门链接-国资与实验管理处-资产管理平台。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图示如下：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exact"/>
        <w:ind w:right="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温大网站-部门链接-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国资与实验室管理处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-资产管理平台（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温州大学国资与实验室管理处  http://gyzc.wzu.edu.cn/）</w:t>
      </w:r>
    </w:p>
    <w:p>
      <w:pPr/>
    </w:p>
    <w:p>
      <w:pPr/>
      <w:r>
        <w:drawing>
          <wp:inline distT="0" distB="0" distL="114300" distR="114300">
            <wp:extent cx="5266690" cy="2502535"/>
            <wp:effectExtent l="0" t="0" r="1016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bCs w:val="0"/>
          <w:color w:val="000000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bCs w:val="0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 w:val="0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2.“职工号”和“密码”输好后，点“登陆”，在“资产管理”中分别选择“仪器设备”、“低值耐用品”、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“软件”。</w:t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</w:p>
    <w:p>
      <w:pPr/>
      <w:r>
        <w:drawing>
          <wp:inline distT="0" distB="0" distL="114300" distR="114300">
            <wp:extent cx="5299075" cy="3168015"/>
            <wp:effectExtent l="0" t="0" r="1587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4"/>
          <w:szCs w:val="24"/>
          <w:lang w:val="en-US" w:eastAsia="zh-CN" w:bidi="ar"/>
        </w:rPr>
        <w:t>3.进入“仪器设备”等，点击“在账设备”等，然后点击“单一条件查询”，点击“导至Excel”下载。</w:t>
      </w:r>
    </w:p>
    <w:p>
      <w:pPr>
        <w:widowControl/>
        <w:numPr>
          <w:ilvl w:val="0"/>
          <w:numId w:val="0"/>
        </w:numPr>
        <w:snapToGrid w:val="0"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</w:p>
    <w:p>
      <w:pPr/>
      <w:r>
        <w:drawing>
          <wp:inline distT="0" distB="0" distL="114300" distR="114300">
            <wp:extent cx="5272405" cy="1711325"/>
            <wp:effectExtent l="0" t="0" r="444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/>
      <w:r>
        <w:drawing>
          <wp:inline distT="0" distB="0" distL="114300" distR="114300">
            <wp:extent cx="5265420" cy="2534920"/>
            <wp:effectExtent l="0" t="0" r="1143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74EF"/>
    <w:rsid w:val="2D8947E2"/>
    <w:rsid w:val="34DC186C"/>
    <w:rsid w:val="564F375A"/>
    <w:rsid w:val="683A3755"/>
    <w:rsid w:val="7D9F0A04"/>
    <w:rsid w:val="7DC114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3A3A3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2016-05-05T00:17:32Z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